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Style w:val="7"/>
          <w:rFonts w:hint="eastAsia" w:ascii="方正小标宋简体" w:hAnsi="方正小标宋简体" w:eastAsia="方正小标宋简体" w:cs="方正小标宋简体"/>
          <w:bCs/>
        </w:rPr>
        <w:t>青岛大学计算机科学技术学院2019年人才招聘启事</w:t>
      </w:r>
    </w:p>
    <w:p>
      <w:pPr>
        <w:spacing w:line="500" w:lineRule="exact"/>
        <w:jc w:val="center"/>
        <w:rPr>
          <w:rStyle w:val="8"/>
          <w:rFonts w:hint="default" w:ascii="宋体" w:hAnsi="宋体" w:eastAsia="宋体" w:cs="宋体"/>
        </w:rPr>
      </w:pP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青岛大学计算机科学技术学院成立于2015年12月，前身是1998年由计算机科学与技术系、计算中心、信息网络中心、软件技术研究所合并组建的信息工程学院。1986年开始培养计算机科学与技术专业本科生，1999年起培养计算机软件与理论二级</w:t>
      </w:r>
      <w:bookmarkStart w:id="0" w:name="_GoBack"/>
      <w:bookmarkEnd w:id="0"/>
      <w:r>
        <w:rPr>
          <w:rStyle w:val="9"/>
          <w:rFonts w:cs="宋体"/>
          <w:sz w:val="28"/>
          <w:szCs w:val="28"/>
        </w:rPr>
        <w:t>学科硕士研究生，2018年申报成功软件工程一级学科博士点。目前，计算机科学ESI全球排名完成度为0.78。</w:t>
      </w:r>
    </w:p>
    <w:p>
      <w:pPr>
        <w:spacing w:line="500" w:lineRule="exact"/>
        <w:ind w:firstLine="560" w:firstLineChars="200"/>
        <w:rPr>
          <w:rStyle w:val="10"/>
          <w:rFonts w:ascii="黑体" w:hAnsi="黑体" w:eastAsia="黑体" w:cs="黑体"/>
          <w:bCs/>
          <w:sz w:val="28"/>
          <w:szCs w:val="28"/>
        </w:rPr>
      </w:pPr>
      <w:r>
        <w:rPr>
          <w:rStyle w:val="10"/>
          <w:rFonts w:hint="eastAsia" w:ascii="黑体" w:hAnsi="黑体" w:eastAsia="黑体" w:cs="黑体"/>
          <w:bCs/>
          <w:sz w:val="28"/>
          <w:szCs w:val="28"/>
        </w:rPr>
        <w:t>一、一级学科及学位授权点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hint="default" w:cs="宋体"/>
          <w:sz w:val="28"/>
          <w:szCs w:val="28"/>
        </w:rPr>
        <w:t>1998年获批“计算机软件与理论”二级学科硕士点，2005年获批“计算机科学与技术”一级学科硕士点，2011年获批“软件工程”一级学科硕士点，</w:t>
      </w:r>
      <w:r>
        <w:rPr>
          <w:rStyle w:val="9"/>
          <w:rFonts w:cs="宋体"/>
          <w:sz w:val="28"/>
          <w:szCs w:val="28"/>
        </w:rPr>
        <w:t>2016年获批“网络空间安全”一级学科硕士点，</w:t>
      </w:r>
      <w:r>
        <w:rPr>
          <w:rStyle w:val="9"/>
          <w:rFonts w:hint="default" w:cs="宋体"/>
          <w:b/>
          <w:bCs/>
          <w:sz w:val="28"/>
          <w:szCs w:val="28"/>
        </w:rPr>
        <w:t>2018年获批“软件工程”一级学科博士点。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hint="default" w:cs="宋体"/>
          <w:sz w:val="28"/>
          <w:szCs w:val="28"/>
        </w:rPr>
        <w:t>目前，</w:t>
      </w:r>
      <w:r>
        <w:rPr>
          <w:rStyle w:val="9"/>
          <w:rFonts w:cs="宋体"/>
          <w:sz w:val="28"/>
          <w:szCs w:val="28"/>
        </w:rPr>
        <w:t>学院拥有</w:t>
      </w:r>
      <w:r>
        <w:rPr>
          <w:rStyle w:val="9"/>
          <w:rFonts w:hint="default" w:cs="宋体"/>
          <w:sz w:val="28"/>
          <w:szCs w:val="28"/>
        </w:rPr>
        <w:t>“计算机科学与技术”“软件工程”</w:t>
      </w:r>
      <w:r>
        <w:rPr>
          <w:rStyle w:val="9"/>
          <w:rFonts w:cs="宋体"/>
          <w:sz w:val="28"/>
          <w:szCs w:val="28"/>
        </w:rPr>
        <w:t>“网络空间安全”</w:t>
      </w:r>
      <w:r>
        <w:rPr>
          <w:rStyle w:val="9"/>
          <w:rFonts w:hint="default" w:cs="宋体"/>
          <w:sz w:val="28"/>
          <w:szCs w:val="28"/>
        </w:rPr>
        <w:t>3个一级学科，承担一体化建设任务。设有“软件工程”一级学科博士点，“软件工程”“计算机科学与技术”“网络空间安全”一级学科硕士点，“</w:t>
      </w:r>
      <w:r>
        <w:rPr>
          <w:rStyle w:val="9"/>
          <w:rFonts w:cs="宋体"/>
          <w:sz w:val="28"/>
          <w:szCs w:val="28"/>
        </w:rPr>
        <w:t>电子信息</w:t>
      </w:r>
      <w:r>
        <w:rPr>
          <w:rStyle w:val="9"/>
          <w:rFonts w:hint="default" w:cs="宋体"/>
          <w:sz w:val="28"/>
          <w:szCs w:val="28"/>
        </w:rPr>
        <w:t>”</w:t>
      </w:r>
      <w:r>
        <w:rPr>
          <w:rStyle w:val="9"/>
          <w:rFonts w:cs="宋体"/>
          <w:sz w:val="28"/>
          <w:szCs w:val="28"/>
        </w:rPr>
        <w:t>工程硕士</w:t>
      </w:r>
      <w:r>
        <w:rPr>
          <w:rStyle w:val="9"/>
          <w:rFonts w:hint="default" w:cs="宋体"/>
          <w:sz w:val="28"/>
          <w:szCs w:val="28"/>
        </w:rPr>
        <w:t>专业学位</w:t>
      </w:r>
      <w:r>
        <w:rPr>
          <w:rStyle w:val="9"/>
          <w:rFonts w:cs="宋体"/>
          <w:sz w:val="28"/>
          <w:szCs w:val="28"/>
        </w:rPr>
        <w:t>授权</w:t>
      </w:r>
      <w:r>
        <w:rPr>
          <w:rStyle w:val="9"/>
          <w:rFonts w:hint="default" w:cs="宋体"/>
          <w:sz w:val="28"/>
          <w:szCs w:val="28"/>
        </w:rPr>
        <w:t>点。</w:t>
      </w:r>
    </w:p>
    <w:p>
      <w:pPr>
        <w:spacing w:line="500" w:lineRule="exact"/>
        <w:ind w:firstLine="560" w:firstLineChars="200"/>
        <w:rPr>
          <w:rStyle w:val="10"/>
          <w:rFonts w:ascii="黑体" w:hAnsi="黑体" w:eastAsia="黑体" w:cs="黑体"/>
          <w:bCs/>
          <w:sz w:val="28"/>
          <w:szCs w:val="28"/>
        </w:rPr>
      </w:pPr>
      <w:r>
        <w:rPr>
          <w:rStyle w:val="10"/>
          <w:rFonts w:hint="eastAsia" w:ascii="黑体" w:hAnsi="黑体" w:eastAsia="黑体" w:cs="黑体"/>
          <w:bCs/>
          <w:sz w:val="28"/>
          <w:szCs w:val="28"/>
        </w:rPr>
        <w:t>二、科研与学科平台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hint="default" w:cs="宋体"/>
          <w:sz w:val="28"/>
          <w:szCs w:val="28"/>
        </w:rPr>
        <w:t>拥有山东省“十二五”计算机应用技术特色重点学科。与海信集团合作建有山东省院士工作站。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hint="default" w:cs="宋体"/>
          <w:sz w:val="28"/>
          <w:szCs w:val="28"/>
        </w:rPr>
        <w:t>设有计算机应用技术中央与地方共建高校特色优势学科实验室、山东省健康管理工程技术</w:t>
      </w:r>
      <w:r>
        <w:rPr>
          <w:rStyle w:val="9"/>
          <w:rFonts w:cs="宋体"/>
          <w:sz w:val="28"/>
          <w:szCs w:val="28"/>
        </w:rPr>
        <w:t>研究</w:t>
      </w:r>
      <w:r>
        <w:rPr>
          <w:rStyle w:val="9"/>
          <w:rFonts w:hint="default" w:cs="宋体"/>
          <w:sz w:val="28"/>
          <w:szCs w:val="28"/>
        </w:rPr>
        <w:t>中心、山东省高校“十五”“十一五”计算机应用重点实验室、山东省高校“十二五”智能信息处理重点实验室、山东省高校“十三五”大数据技术重点实验室、青岛市软件技术重点实验室。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hint="default" w:cs="宋体"/>
          <w:sz w:val="28"/>
          <w:szCs w:val="28"/>
        </w:rPr>
        <w:t>目前，</w:t>
      </w:r>
      <w:r>
        <w:rPr>
          <w:rStyle w:val="9"/>
          <w:rFonts w:cs="宋体"/>
          <w:sz w:val="28"/>
          <w:szCs w:val="28"/>
        </w:rPr>
        <w:t>学院设有软件技术研究所、计算机视觉研究所、网络空间安全研究所、泛在网络与城市计算研究所、人工智能研究所、大数据技术研究所、遥感信息与数字地球研究中心等研究机构。青岛大学大数据技术与智慧城市研究院挂靠学院发展。</w:t>
      </w:r>
    </w:p>
    <w:p>
      <w:pPr>
        <w:spacing w:line="500" w:lineRule="exact"/>
        <w:ind w:firstLine="560" w:firstLineChars="200"/>
        <w:rPr>
          <w:rStyle w:val="10"/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Style w:val="10"/>
          <w:rFonts w:hint="eastAsia" w:ascii="黑体" w:hAnsi="黑体" w:eastAsia="黑体" w:cs="黑体"/>
          <w:bCs/>
          <w:sz w:val="28"/>
          <w:szCs w:val="28"/>
        </w:rPr>
        <w:t>三、2019年学院招聘</w:t>
      </w:r>
      <w:r>
        <w:rPr>
          <w:rStyle w:val="10"/>
          <w:rFonts w:hint="eastAsia" w:ascii="黑体" w:hAnsi="黑体" w:eastAsia="黑体" w:cs="黑体"/>
          <w:bCs/>
          <w:sz w:val="28"/>
          <w:szCs w:val="28"/>
          <w:lang w:val="en-US" w:eastAsia="zh-CN"/>
        </w:rPr>
        <w:t>相关事宜</w:t>
      </w:r>
    </w:p>
    <w:p>
      <w:pPr>
        <w:spacing w:line="500" w:lineRule="exact"/>
        <w:ind w:firstLine="562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ascii="KaiTi_GB2312" w:hAnsi="KaiTi_GB2312" w:eastAsia="KaiTi_GB2312" w:cs="KaiTi_GB2312"/>
          <w:b/>
          <w:bCs/>
          <w:sz w:val="28"/>
          <w:szCs w:val="28"/>
        </w:rPr>
        <w:t>（一）所属学科</w:t>
      </w:r>
    </w:p>
    <w:p>
      <w:pPr>
        <w:spacing w:line="500" w:lineRule="exact"/>
        <w:ind w:firstLine="562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b/>
          <w:bCs/>
          <w:sz w:val="28"/>
          <w:szCs w:val="28"/>
        </w:rPr>
        <w:t>一级学科：</w:t>
      </w:r>
      <w:r>
        <w:rPr>
          <w:rStyle w:val="9"/>
          <w:rFonts w:cs="宋体"/>
          <w:sz w:val="28"/>
          <w:szCs w:val="28"/>
        </w:rPr>
        <w:t>计算机科学与技术，软件工程，数学，军事指挥学，信息与通信工程。</w:t>
      </w:r>
    </w:p>
    <w:p>
      <w:pPr>
        <w:spacing w:line="500" w:lineRule="exact"/>
        <w:ind w:firstLine="562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b/>
          <w:bCs/>
          <w:sz w:val="28"/>
          <w:szCs w:val="28"/>
        </w:rPr>
        <w:t>二级学科：</w:t>
      </w:r>
      <w:r>
        <w:rPr>
          <w:rStyle w:val="9"/>
          <w:rFonts w:cs="宋体"/>
          <w:sz w:val="28"/>
          <w:szCs w:val="28"/>
        </w:rPr>
        <w:t>计算机系统结构，计算机软件与理论，计算机应用，软件工程，信息安全，密码学。</w:t>
      </w:r>
    </w:p>
    <w:p>
      <w:pPr>
        <w:spacing w:line="500" w:lineRule="exact"/>
        <w:ind w:firstLine="562" w:firstLineChars="200"/>
        <w:rPr>
          <w:rStyle w:val="9"/>
          <w:rFonts w:hint="default" w:ascii="KaiTi_GB2312" w:hAnsi="KaiTi_GB2312" w:eastAsia="KaiTi_GB2312" w:cs="KaiTi_GB2312"/>
          <w:b/>
          <w:bCs/>
          <w:sz w:val="28"/>
          <w:szCs w:val="28"/>
        </w:rPr>
      </w:pPr>
      <w:r>
        <w:rPr>
          <w:rStyle w:val="9"/>
          <w:rFonts w:ascii="KaiTi_GB2312" w:hAnsi="KaiTi_GB2312" w:eastAsia="KaiTi_GB2312" w:cs="KaiTi_GB2312"/>
          <w:b/>
          <w:bCs/>
          <w:sz w:val="28"/>
          <w:szCs w:val="28"/>
        </w:rPr>
        <w:t>（二）招聘要求</w:t>
      </w:r>
    </w:p>
    <w:p>
      <w:pPr>
        <w:spacing w:line="500" w:lineRule="exact"/>
        <w:ind w:firstLine="562" w:firstLineChars="200"/>
        <w:rPr>
          <w:rStyle w:val="9"/>
          <w:rFonts w:hint="default" w:cs="宋体"/>
          <w:b/>
          <w:bCs/>
          <w:sz w:val="28"/>
          <w:szCs w:val="28"/>
        </w:rPr>
      </w:pPr>
      <w:r>
        <w:rPr>
          <w:rStyle w:val="9"/>
          <w:rFonts w:cs="宋体"/>
          <w:b/>
          <w:bCs/>
          <w:sz w:val="28"/>
          <w:szCs w:val="28"/>
        </w:rPr>
        <w:t>1.五层次特聘教授入职条件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（1）以第一作者发表中科院1区(或CCF A类期刊)论文不少于5篇，或中科院2区(或CCF A类会议/CCF B类期刊)论文不少于10篇。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（2）毕业博士需参与国家级重大项目课题。其他人员需主持至少1项国家自然科学基金面上及相当项目。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（3）年龄45周岁以下。</w:t>
      </w:r>
    </w:p>
    <w:p>
      <w:pPr>
        <w:spacing w:line="500" w:lineRule="exact"/>
        <w:ind w:firstLine="562" w:firstLineChars="200"/>
        <w:rPr>
          <w:rStyle w:val="9"/>
          <w:rFonts w:hint="default" w:cs="宋体"/>
          <w:b/>
          <w:bCs/>
          <w:sz w:val="28"/>
          <w:szCs w:val="28"/>
        </w:rPr>
      </w:pPr>
      <w:r>
        <w:rPr>
          <w:rStyle w:val="9"/>
          <w:rFonts w:cs="宋体"/>
          <w:b/>
          <w:bCs/>
          <w:sz w:val="28"/>
          <w:szCs w:val="28"/>
        </w:rPr>
        <w:t>2.青年卓越人才入职条件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（1）以第一作者发表中科院1区(或CCF A类期刊)论文2篇，或中科院2区(或CCF A类会议/CCF B类期刊)4篇。或单篇或任意2篇SCI论文影响因子之和大于15。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（2）年龄35周岁以下。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（3）毕业于海内外知名大学或著名研究机构。</w:t>
      </w:r>
    </w:p>
    <w:p>
      <w:pPr>
        <w:spacing w:line="500" w:lineRule="exact"/>
        <w:ind w:firstLine="562" w:firstLineChars="200"/>
        <w:rPr>
          <w:rStyle w:val="9"/>
          <w:rFonts w:hint="default" w:cs="宋体"/>
          <w:b/>
          <w:bCs/>
          <w:sz w:val="28"/>
          <w:szCs w:val="28"/>
        </w:rPr>
      </w:pPr>
      <w:r>
        <w:rPr>
          <w:rStyle w:val="9"/>
          <w:rFonts w:cs="宋体"/>
          <w:b/>
          <w:bCs/>
          <w:sz w:val="28"/>
          <w:szCs w:val="28"/>
        </w:rPr>
        <w:t>3.青年博士（博士后）入职条件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（1）以第一作者发表中科院1区（或CCF A类期刊）论文1篇，或中科院2区(或CCF A类会议/CCF B类期刊)论文2篇，或CCF B类会议/CCF C类期刊论文3篇，或SCI（3区/4区）论文/国内计算机类/通信类一级期刊论文3篇。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（2）年龄33周岁以下。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（3）毕业于海内外知名大学或著名研究机构。</w:t>
      </w:r>
    </w:p>
    <w:p>
      <w:pPr>
        <w:spacing w:line="500" w:lineRule="exact"/>
        <w:ind w:firstLine="560" w:firstLineChars="200"/>
        <w:rPr>
          <w:rStyle w:val="10"/>
          <w:rFonts w:ascii="黑体" w:hAnsi="黑体" w:eastAsia="黑体" w:cs="黑体"/>
          <w:bCs/>
          <w:sz w:val="28"/>
          <w:szCs w:val="28"/>
        </w:rPr>
      </w:pPr>
      <w:r>
        <w:rPr>
          <w:rStyle w:val="10"/>
          <w:rFonts w:hint="eastAsia" w:ascii="黑体" w:hAnsi="黑体" w:eastAsia="黑体" w:cs="黑体"/>
          <w:bCs/>
          <w:sz w:val="28"/>
          <w:szCs w:val="28"/>
        </w:rPr>
        <w:t>四、学校人才支持政策及学院配套措施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学校为入选不同层次的特聘教授、青年卓越人才发放特殊岗位津贴，连续发放4年。具体标准如下：</w:t>
      </w:r>
    </w:p>
    <w:tbl>
      <w:tblPr>
        <w:tblStyle w:val="6"/>
        <w:tblW w:w="90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560"/>
        <w:gridCol w:w="1020"/>
        <w:gridCol w:w="1020"/>
        <w:gridCol w:w="1895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Merge w:val="restart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特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津贴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（万元/年）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科研启动费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非实验类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购房补贴或租房补贴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895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青岛市</w:t>
            </w:r>
          </w:p>
        </w:tc>
        <w:tc>
          <w:tcPr>
            <w:tcW w:w="158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第一层次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另议</w:t>
            </w:r>
          </w:p>
        </w:tc>
        <w:tc>
          <w:tcPr>
            <w:tcW w:w="1895" w:type="dxa"/>
            <w:vMerge w:val="restart"/>
            <w:vAlign w:val="center"/>
          </w:tcPr>
          <w:p>
            <w:pPr>
              <w:topLinePunct/>
              <w:adjustRightInd w:val="0"/>
              <w:snapToGrid w:val="0"/>
              <w:jc w:val="both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青岛市按照人才层次不同提供30-100万安家费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topLinePunct/>
              <w:adjustRightInd w:val="0"/>
              <w:snapToGrid w:val="0"/>
              <w:jc w:val="both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应届毕业生和留学归国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人员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在青首次就业1200元/月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topLinePunct/>
              <w:adjustRightInd w:val="0"/>
              <w:snapToGrid w:val="0"/>
              <w:jc w:val="both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统招博士后出站安家费20万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8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住房一套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第二层次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第三层次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第四层次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第五层次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青年卓越人才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博士/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博士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后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2000元/月</w:t>
            </w:r>
          </w:p>
        </w:tc>
      </w:tr>
    </w:tbl>
    <w:p>
      <w:pPr>
        <w:spacing w:line="500" w:lineRule="exact"/>
        <w:ind w:firstLine="562" w:firstLineChars="200"/>
        <w:rPr>
          <w:rFonts w:ascii="KaiTi_GB2312" w:hAnsi="KaiTi_GB2312" w:eastAsia="KaiTi_GB2312" w:cs="KaiTi_GB2312"/>
          <w:b/>
          <w:bCs/>
          <w:color w:val="000000"/>
          <w:sz w:val="28"/>
          <w:szCs w:val="28"/>
        </w:rPr>
      </w:pPr>
      <w:r>
        <w:rPr>
          <w:rFonts w:hint="eastAsia" w:ascii="KaiTi_GB2312" w:hAnsi="KaiTi_GB2312" w:eastAsia="KaiTi_GB2312" w:cs="KaiTi_GB2312"/>
          <w:b/>
          <w:bCs/>
          <w:color w:val="000000"/>
          <w:sz w:val="28"/>
          <w:szCs w:val="28"/>
        </w:rPr>
        <w:t>说明：1.青岛市和青岛大学给予的租房补贴均以36个月为期。</w:t>
      </w:r>
    </w:p>
    <w:p>
      <w:pPr>
        <w:spacing w:line="500" w:lineRule="exact"/>
        <w:ind w:firstLine="1405" w:firstLineChars="500"/>
        <w:rPr>
          <w:rFonts w:ascii="KaiTi_GB2312" w:hAnsi="KaiTi_GB2312" w:eastAsia="KaiTi_GB2312" w:cs="KaiTi_GB2312"/>
          <w:b/>
          <w:bCs/>
          <w:color w:val="000000"/>
          <w:sz w:val="28"/>
          <w:szCs w:val="28"/>
        </w:rPr>
      </w:pPr>
      <w:r>
        <w:rPr>
          <w:rFonts w:hint="eastAsia" w:ascii="KaiTi_GB2312" w:hAnsi="KaiTi_GB2312" w:eastAsia="KaiTi_GB2312" w:cs="KaiTi_GB2312"/>
          <w:b/>
          <w:bCs/>
          <w:color w:val="000000"/>
          <w:sz w:val="28"/>
          <w:szCs w:val="28"/>
        </w:rPr>
        <w:t>2.除特岗津贴外，学校还提供岗位绩效津贴3-5万元/年。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除此之外，学院还为入职的人才免费提供1台小型工作站（价值3万元左右）。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青岛大学特聘教授、青年卓越人才入选条件等详情可参考《青岛大学特聘教授青年卓越人才工程实施办法（暂行）》。</w:t>
      </w:r>
    </w:p>
    <w:p>
      <w:pPr>
        <w:spacing w:line="500" w:lineRule="exact"/>
        <w:ind w:firstLine="560" w:firstLineChars="200"/>
        <w:rPr>
          <w:rStyle w:val="10"/>
          <w:rFonts w:ascii="黑体" w:hAnsi="黑体" w:eastAsia="黑体" w:cs="黑体"/>
          <w:bCs/>
          <w:sz w:val="28"/>
          <w:szCs w:val="28"/>
        </w:rPr>
      </w:pPr>
      <w:r>
        <w:rPr>
          <w:rStyle w:val="10"/>
          <w:rFonts w:hint="eastAsia" w:ascii="黑体" w:hAnsi="黑体" w:eastAsia="黑体" w:cs="黑体"/>
          <w:bCs/>
          <w:sz w:val="28"/>
          <w:szCs w:val="28"/>
        </w:rPr>
        <w:t>五、联系方式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学院网站：www.qdu.edu.cn&gt;院部设置&gt;计算机科学技术学院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招聘联系人：崔铭文（学院党政办公室主任）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联系电话：0532-85953151（办公室）/13963967863（手机）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邮    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"mailto:cuimingwen@163.com" </w:instrText>
      </w:r>
      <w:r>
        <w:rPr>
          <w:sz w:val="28"/>
          <w:szCs w:val="28"/>
        </w:rPr>
        <w:fldChar w:fldCharType="separate"/>
      </w:r>
      <w:r>
        <w:rPr>
          <w:rStyle w:val="9"/>
          <w:rFonts w:cs="宋体"/>
          <w:sz w:val="28"/>
          <w:szCs w:val="28"/>
        </w:rPr>
        <w:t>cuimingwen@163.com</w:t>
      </w:r>
      <w:r>
        <w:rPr>
          <w:rStyle w:val="9"/>
          <w:rFonts w:cs="宋体"/>
          <w:sz w:val="28"/>
          <w:szCs w:val="28"/>
        </w:rPr>
        <w:fldChar w:fldCharType="end"/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通信地址：山东省青岛市宁夏路308号/青岛大学计算机科学技术学院党政办公室</w:t>
      </w:r>
    </w:p>
    <w:sectPr>
      <w:footerReference r:id="rId3" w:type="default"/>
      <w:pgSz w:w="11906" w:h="16838"/>
      <w:pgMar w:top="1474" w:right="1474" w:bottom="113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_GB2312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2206625</wp:posOffset>
              </wp:positionH>
              <wp:positionV relativeFrom="paragraph">
                <wp:posOffset>-60960</wp:posOffset>
              </wp:positionV>
              <wp:extent cx="1304925" cy="222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3.75pt;margin-top:-4.8pt;height:17.5pt;width:102.75pt;mso-position-horizontal-relative:margin;z-index:251658240;mso-width-relative:page;mso-height-relative:page;" filled="f" stroked="f" coordsize="21600,21600" o:gfxdata="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up0fb2QAAAAkBAAAPAAAAAAAA&#10;AAEAIAAAACIAAABkcnMvZG93bnJldi54bWxQSwECFAAUAAAACACHTuJATfq2cxECAAAIBAAADgAA&#10;AAAAAAABACAAAAAo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5B"/>
    <w:rsid w:val="00152FB0"/>
    <w:rsid w:val="001B375B"/>
    <w:rsid w:val="00226868"/>
    <w:rsid w:val="0028620B"/>
    <w:rsid w:val="002A19F1"/>
    <w:rsid w:val="002A7250"/>
    <w:rsid w:val="002F2FDF"/>
    <w:rsid w:val="004A2548"/>
    <w:rsid w:val="004C38F6"/>
    <w:rsid w:val="005166CE"/>
    <w:rsid w:val="005E4A13"/>
    <w:rsid w:val="006D42F5"/>
    <w:rsid w:val="00717E90"/>
    <w:rsid w:val="007F0F90"/>
    <w:rsid w:val="008B64BE"/>
    <w:rsid w:val="008D0B9C"/>
    <w:rsid w:val="008E2611"/>
    <w:rsid w:val="008F03FA"/>
    <w:rsid w:val="00917BD5"/>
    <w:rsid w:val="009403C4"/>
    <w:rsid w:val="00A16142"/>
    <w:rsid w:val="00A52755"/>
    <w:rsid w:val="00AD19A4"/>
    <w:rsid w:val="00C91048"/>
    <w:rsid w:val="00D07739"/>
    <w:rsid w:val="00D17E8F"/>
    <w:rsid w:val="00DF17EE"/>
    <w:rsid w:val="00E337D6"/>
    <w:rsid w:val="00F3312B"/>
    <w:rsid w:val="00F3388B"/>
    <w:rsid w:val="01D80F8E"/>
    <w:rsid w:val="022F30D5"/>
    <w:rsid w:val="058A69D7"/>
    <w:rsid w:val="059024C7"/>
    <w:rsid w:val="08B562AA"/>
    <w:rsid w:val="0A1604EF"/>
    <w:rsid w:val="0B6005E4"/>
    <w:rsid w:val="0E2B2DAE"/>
    <w:rsid w:val="0EC82F94"/>
    <w:rsid w:val="134145BA"/>
    <w:rsid w:val="14E87A63"/>
    <w:rsid w:val="14F34E66"/>
    <w:rsid w:val="16657442"/>
    <w:rsid w:val="171147D2"/>
    <w:rsid w:val="17EC321A"/>
    <w:rsid w:val="1A8B26FB"/>
    <w:rsid w:val="1AB65143"/>
    <w:rsid w:val="1BDB000F"/>
    <w:rsid w:val="20ED48BF"/>
    <w:rsid w:val="213126B3"/>
    <w:rsid w:val="21403D96"/>
    <w:rsid w:val="218817BD"/>
    <w:rsid w:val="228B5858"/>
    <w:rsid w:val="22C55A93"/>
    <w:rsid w:val="232C6A91"/>
    <w:rsid w:val="233E0D40"/>
    <w:rsid w:val="24CC0AB1"/>
    <w:rsid w:val="253B1862"/>
    <w:rsid w:val="27A819E0"/>
    <w:rsid w:val="27D75C1B"/>
    <w:rsid w:val="281629D3"/>
    <w:rsid w:val="297326CB"/>
    <w:rsid w:val="2A771EF4"/>
    <w:rsid w:val="2A783FC0"/>
    <w:rsid w:val="2AA55F0A"/>
    <w:rsid w:val="2D1E3EE8"/>
    <w:rsid w:val="2F1D4962"/>
    <w:rsid w:val="315372E9"/>
    <w:rsid w:val="319746D9"/>
    <w:rsid w:val="31C41BBE"/>
    <w:rsid w:val="32E65D9B"/>
    <w:rsid w:val="3301156C"/>
    <w:rsid w:val="338347CB"/>
    <w:rsid w:val="3513501B"/>
    <w:rsid w:val="35154772"/>
    <w:rsid w:val="367943FB"/>
    <w:rsid w:val="36C739B3"/>
    <w:rsid w:val="37323F25"/>
    <w:rsid w:val="37B61134"/>
    <w:rsid w:val="380A0919"/>
    <w:rsid w:val="38DC3CD1"/>
    <w:rsid w:val="3B9E29C7"/>
    <w:rsid w:val="3D5502C7"/>
    <w:rsid w:val="3D561380"/>
    <w:rsid w:val="3DB8408B"/>
    <w:rsid w:val="3F474639"/>
    <w:rsid w:val="3FC669FA"/>
    <w:rsid w:val="406F13AD"/>
    <w:rsid w:val="434D7A69"/>
    <w:rsid w:val="43B64A44"/>
    <w:rsid w:val="44313290"/>
    <w:rsid w:val="455B7043"/>
    <w:rsid w:val="4DFF7FA4"/>
    <w:rsid w:val="50393DD3"/>
    <w:rsid w:val="568D6CB2"/>
    <w:rsid w:val="56C3588A"/>
    <w:rsid w:val="56C915F4"/>
    <w:rsid w:val="56D92DCE"/>
    <w:rsid w:val="5A6252DE"/>
    <w:rsid w:val="5B337ED9"/>
    <w:rsid w:val="5E8C7347"/>
    <w:rsid w:val="5F967452"/>
    <w:rsid w:val="5FD45AC2"/>
    <w:rsid w:val="6008620C"/>
    <w:rsid w:val="61426AB6"/>
    <w:rsid w:val="61A013EA"/>
    <w:rsid w:val="61FF7BDF"/>
    <w:rsid w:val="62E6445B"/>
    <w:rsid w:val="63E147E4"/>
    <w:rsid w:val="63E85B88"/>
    <w:rsid w:val="652E049E"/>
    <w:rsid w:val="662D67EB"/>
    <w:rsid w:val="668855FC"/>
    <w:rsid w:val="67A325BB"/>
    <w:rsid w:val="688E7CCC"/>
    <w:rsid w:val="68D125E8"/>
    <w:rsid w:val="69276361"/>
    <w:rsid w:val="6AAC2831"/>
    <w:rsid w:val="6FCE5D3E"/>
    <w:rsid w:val="72FE7944"/>
    <w:rsid w:val="74562271"/>
    <w:rsid w:val="77286467"/>
    <w:rsid w:val="7A3168D2"/>
    <w:rsid w:val="7A780EA3"/>
    <w:rsid w:val="7A7C22BF"/>
    <w:rsid w:val="7B1A67E6"/>
    <w:rsid w:val="7CC5575C"/>
    <w:rsid w:val="7F46130A"/>
    <w:rsid w:val="7F4C1E75"/>
    <w:rsid w:val="7FE6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style01"/>
    <w:basedOn w:val="4"/>
    <w:qFormat/>
    <w:uiPriority w:val="0"/>
    <w:rPr>
      <w:rFonts w:hint="default" w:ascii="FZXBSJW--GB1-0" w:hAnsi="FZXBSJW--GB1-0"/>
      <w:color w:val="000000"/>
      <w:sz w:val="36"/>
      <w:szCs w:val="36"/>
    </w:rPr>
  </w:style>
  <w:style w:type="character" w:customStyle="1" w:styleId="8">
    <w:name w:val="fontstyle21"/>
    <w:basedOn w:val="4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9">
    <w:name w:val="fontstyle31"/>
    <w:basedOn w:val="4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10">
    <w:name w:val="fontstyle41"/>
    <w:basedOn w:val="4"/>
    <w:qFormat/>
    <w:uiPriority w:val="0"/>
    <w:rPr>
      <w:rFonts w:hint="default" w:ascii="KaiTi_GB2312" w:hAnsi="KaiTi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293</Words>
  <Characters>1671</Characters>
  <Lines>13</Lines>
  <Paragraphs>3</Paragraphs>
  <TotalTime>16</TotalTime>
  <ScaleCrop>false</ScaleCrop>
  <LinksUpToDate>false</LinksUpToDate>
  <CharactersWithSpaces>1961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2018-06-21T06:01:00Z</dcterms:created>
  <dc:creator>n</dc:creator>
  <cp:lastModifiedBy>cmw</cp:lastModifiedBy>
  <dcterms:modified xsi:type="dcterms:W3CDTF">2018-11-23T01:16:51Z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